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販売実績</w:t>
      </w:r>
    </w:p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地域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売上</w:t>
            </w:r>
          </w:p>
        </w:tc>
      </w:tr>
      <w:tr>
        <w:tc>
          <w:tcPr>
            <w:tcW w:w="2160" w:type="dxa"/>
          </w:tcPr>
          <w:p>
            <w:r>
              <w:t xml:space="preserve">東京</w:t>
            </w:r>
          </w:p>
        </w:tc>
        <w:tc>
          <w:tcPr>
            <w:tcW w:w="2160" w:type="dxa"/>
          </w:tcPr>
          <w:p>
            <w:r>
              <w:t xml:space="preserve">1,250</w:t>
            </w:r>
          </w:p>
        </w:tc>
      </w:tr>
      <w:tr>
        <w:tc>
          <w:tcPr>
            <w:tcW w:w="2160" w:type="dxa"/>
          </w:tcPr>
          <w:p>
            <w:r>
              <w:t xml:space="preserve">大阪</w:t>
            </w:r>
          </w:p>
        </w:tc>
        <w:tc>
          <w:tcPr>
            <w:tcW w:w="2160" w:type="dxa"/>
          </w:tcPr>
          <w:p>
            <w:r>
              <w:t xml:space="preserve">980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