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Metric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Value</w:t>
            </w:r>
          </w:p>
        </w:tc>
      </w:tr>
      <w:tr>
        <w:tc>
          <w:tcPr>
            <w:tcW w:w="2160" w:type="dxa"/>
          </w:tcPr>
          <w:p>
            <w:r>
              <w:t xml:space="preserve">Users</w:t>
            </w:r>
          </w:p>
        </w:tc>
        <w:tc>
          <w:tcPr>
            <w:tcW w:w="2160" w:type="dxa"/>
          </w:tcPr>
          <w:p>
            <w:r>
              <w:t xml:space="preserve">1,024</w:t>
            </w:r>
          </w:p>
        </w:tc>
      </w:tr>
    </w:tbl>
    <w:p/>
    <w:p>
      <w:r>
        <w:rPr>
          <w:i/>
        </w:rPr>
        <w:t xml:space="preserve">Source: internal analytics.</w:t>
      </w:r>
    </w:p>
    <w:p>
      <w:r>
        <w:rPr>
          <w:i/>
        </w:rPr>
        <w:t xml:space="preserve">Collected June 2026.</w:t>
      </w:r>
    </w:p>
  </w:body>
</w:document>
</file>

<file path=word/_rels/document.xml.rels><?xml version="1.0" encoding="UTF-8" standalone="yes"?>
<Relationships xmlns="http://schemas.openxmlformats.org/package/2006/relationships">
</Relationships>
</file>