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b/>
        </w:rPr>
        <w:t xml:space="preserve">Reaction rate constants</w:t>
      </w:r>
    </w:p>
    <w:tbl>
      <w:tblPr>
        <w:tblStyle w:val="TableGrid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Compound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k (s⁻¹)</w:t>
            </w:r>
            <w:r>
              <w:rPr>
                <w:b/>
                <w:vertAlign w:val="superscript"/>
              </w:rPr>
              <w:t xml:space="preserve">a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T (K)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Ea (kJ/mol)</w:t>
            </w:r>
          </w:p>
        </w:tc>
      </w:tr>
      <w:tr>
        <w:tc>
          <w:tcPr>
            <w:tcW w:w="2160" w:type="dxa"/>
          </w:tcPr>
          <w:p>
            <w:r>
              <w:t xml:space="preserve">A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1.2×10³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298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52.3</w:t>
            </w:r>
          </w:p>
        </w:tc>
      </w:tr>
      <w:tr>
        <w:tc>
          <w:tcPr>
            <w:tcW w:w="2160" w:type="dxa"/>
          </w:tcPr>
          <w:p>
            <w:r>
              <w:t xml:space="preserve">B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3.4×10²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298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61.0</w:t>
            </w:r>
          </w:p>
        </w:tc>
      </w:tr>
      <w:tr>
        <w:tc>
          <w:tcPr>
            <w:tcW w:w="2160" w:type="dxa"/>
          </w:tcPr>
          <w:p>
            <w:r>
              <w:t xml:space="preserve">C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8.9×10¹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310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70.8</w:t>
            </w:r>
          </w:p>
        </w:tc>
      </w:tr>
    </w:tbl>
    <w:p/>
    <w:p>
      <w:pPr>
        <w:pStyle w:val="Footnote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Measured under pseudo-first-order conditions.</w:t>
      </w:r>
    </w:p>
    <w:p/>
    <w:p>
      <w:r>
        <w:rPr>
          <w:i/>
        </w:rPr>
        <w:t xml:space="preserve">Source: laboratory notebook, 2026.</w:t>
      </w:r>
    </w:p>
  </w:body>
</w:document>
</file>

<file path=word/_rels/document.xml.rels><?xml version="1.0" encoding="UTF-8" standalone="yes"?>
<Relationships xmlns="http://schemas.openxmlformats.org/package/2006/relationships">
</Relationships>
</file>