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>
          <w:b/>
        </w:rPr>
        <w:t xml:space="preserve">Regional Sales Performance</w:t>
      </w:r>
    </w:p>
    <w:p>
      <w:pPr>
        <w:pStyle w:val="Subtitle"/>
      </w:pPr>
      <w:r>
        <w:t xml:space="preserve">Fiscal years 2023–2024 (in millions USD)</w:t>
      </w:r>
    </w:p>
    <w:tbl>
      <w:tblPr>
        <w:tblStyle w:val="TableGrid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/>
        </w:tc>
        <w:tc>
          <w:tcPr>
            <w:tcW w:w="2160" w:type="dxa"/>
          </w:tcPr>
          <w:p>
            <w:pPr>
              <w:jc w:val="right"/>
            </w:pPr>
          </w:p>
        </w:tc>
        <w:tc>
          <w:tcPr>
            <w:tcW w:w="4320" w:type="dxa"/>
            <w:gridSpan w:val="2"/>
          </w:tcPr>
          <w:p>
            <w:pPr>
              <w:jc w:val="center"/>
            </w:pPr>
            <w:r>
              <w:rPr>
                <w:b/>
              </w:rPr>
              <w:t xml:space="preserve">Financials</w:t>
            </w:r>
          </w:p>
        </w:tc>
      </w:tr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Country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Year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Revenue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Profit</w:t>
            </w:r>
          </w:p>
        </w:tc>
      </w:tr>
      <w:tr>
        <w:tc>
          <w:tcPr>
            <w:tcW w:w="8640" w:type="dxa"/>
            <w:gridSpan w:val="4"/>
            <w:shd w:val="clear" w:color="auto" w:fill="F0F0F0"/>
          </w:tcPr>
          <w:p>
            <w:r>
              <w:rPr>
                <w:b/>
              </w:rPr>
              <w:t xml:space="preserve">North America</w:t>
            </w:r>
          </w:p>
        </w:tc>
      </w:tr>
      <w:tr>
        <w:tc>
          <w:tcPr>
            <w:tcW w:w="2160" w:type="dxa"/>
            <w:vMerge w:val="restart"/>
          </w:tcPr>
          <w:p>
            <w:r>
              <w:t xml:space="preserve">United States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2023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1,250.3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270.1</w:t>
            </w:r>
            <w:r>
              <w:rPr>
                <w:vertAlign w:val="superscript"/>
              </w:rPr>
              <w:t xml:space="preserve">1</w:t>
            </w:r>
          </w:p>
        </w:tc>
      </w:tr>
      <w:tr>
        <w:tc>
          <w:tcPr>
            <w:tcW w:w="2160" w:type="dxa"/>
            <w:vMerge/>
          </w:tcPr>
          <w:p/>
        </w:tc>
        <w:tc>
          <w:tcPr>
            <w:tcW w:w="2160" w:type="dxa"/>
          </w:tcPr>
          <w:p>
            <w:pPr>
              <w:jc w:val="right"/>
            </w:pPr>
            <w:r>
              <w:t xml:space="preserve">2024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1,380.7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330.3</w:t>
            </w:r>
          </w:p>
        </w:tc>
      </w:tr>
      <w:tr>
        <w:tc>
          <w:tcPr>
            <w:tcW w:w="2160" w:type="dxa"/>
          </w:tcPr>
          <w:p>
            <w:r>
              <w:t xml:space="preserve">Canada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2024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420.1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109.5</w:t>
            </w:r>
          </w:p>
        </w:tc>
      </w:tr>
      <w:tr>
        <w:tc>
          <w:tcPr>
            <w:tcW w:w="8640" w:type="dxa"/>
            <w:gridSpan w:val="4"/>
            <w:shd w:val="clear" w:color="auto" w:fill="F0F0F0"/>
          </w:tcPr>
          <w:p>
            <w:r>
              <w:rPr>
                <w:b/>
              </w:rPr>
              <w:t xml:space="preserve">Europe</w:t>
            </w:r>
          </w:p>
        </w:tc>
      </w:tr>
      <w:tr>
        <w:tc>
          <w:tcPr>
            <w:tcW w:w="2160" w:type="dxa"/>
          </w:tcPr>
          <w:p>
            <w:r>
              <w:t xml:space="preserve">Germany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2024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945.2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164.9</w:t>
            </w:r>
          </w:p>
        </w:tc>
      </w:tr>
      <w:tr>
        <w:tc>
          <w:tcPr>
            <w:tcW w:w="2160" w:type="dxa"/>
          </w:tcPr>
          <w:p>
            <w:r>
              <w:t xml:space="preserve">France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2024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610.8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120.6</w:t>
            </w:r>
          </w:p>
        </w:tc>
      </w:tr>
    </w:tbl>
    <w:p/>
    <w:p>
      <w:pPr>
        <w:pStyle w:val="FootnoteText"/>
      </w:pPr>
      <w:r>
        <w:rPr>
          <w:vertAlign w:val="superscript"/>
        </w:rPr>
        <w:t xml:space="preserve">1</w:t>
      </w:r>
      <w:r>
        <w:t xml:space="preserve"> </w:t>
      </w:r>
      <w:r>
        <w:t xml:space="preserve">Includes one-time restructuring charge.</w:t>
      </w:r>
    </w:p>
    <w:p/>
    <w:p>
      <w:r>
        <w:rPr>
          <w:i/>
        </w:rPr>
        <w:t xml:space="preserve">Source: Internal finance database, June 2026.</w:t>
      </w:r>
    </w:p>
  </w:body>
</w:document>
</file>

<file path=word/_rels/document.xml.rels><?xml version="1.0" encoding="UTF-8" standalone="yes"?>
<Relationships xmlns="http://schemas.openxmlformats.org/package/2006/relationships">
</Relationships>
</file>