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Region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City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Sales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Growth</w:t>
            </w:r>
          </w:p>
        </w:tc>
      </w:tr>
      <w:tr>
        <w:tc>
          <w:tcPr>
            <w:tcW w:w="2160" w:type="dxa"/>
          </w:tcPr>
          <w:p>
            <w:r>
              <w:t xml:space="preserve">East</w:t>
            </w:r>
          </w:p>
        </w:tc>
        <w:tc>
          <w:tcPr>
            <w:tcW w:w="2160" w:type="dxa"/>
          </w:tcPr>
          <w:p>
            <w:r>
              <w:t xml:space="preserve">NYC</w:t>
            </w:r>
          </w:p>
        </w:tc>
        <w:tc>
          <w:tcPr>
            <w:tcW w:w="2160" w:type="dxa"/>
          </w:tcPr>
          <w:p>
            <w:r>
              <w:t xml:space="preserve">60</w:t>
            </w:r>
          </w:p>
        </w:tc>
        <w:tc>
          <w:tcPr>
            <w:tcW w:w="2160" w:type="dxa"/>
          </w:tcPr>
          <w:p>
            <w:r>
              <w:t xml:space="preserve">3%</w:t>
            </w:r>
          </w:p>
        </w:tc>
      </w:tr>
      <w:tr>
        <w:tc>
          <w:tcPr>
            <w:tcW w:w="2160" w:type="dxa"/>
          </w:tcPr>
          <w:p>
            <w:r>
              <w:t xml:space="preserve">West</w:t>
            </w:r>
          </w:p>
        </w:tc>
        <w:tc>
          <w:tcPr>
            <w:tcW w:w="2160" w:type="dxa"/>
          </w:tcPr>
          <w:p>
            <w:r>
              <w:t xml:space="preserve">LA</w:t>
            </w:r>
          </w:p>
        </w:tc>
        <w:tc>
          <w:tcPr>
            <w:tcW w:w="2160" w:type="dxa"/>
          </w:tcPr>
          <w:p>
            <w:r>
              <w:t xml:space="preserve">50</w:t>
            </w:r>
          </w:p>
        </w:tc>
        <w:tc>
          <w:tcPr>
            <w:tcW w:w="2160" w:type="dxa"/>
          </w:tcPr>
          <w:p>
            <w:r>
              <w:t xml:space="preserve">2%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