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Quarterly P&amp;L</w:t>
      </w:r>
    </w:p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Line item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Q1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Q2</w:t>
            </w:r>
          </w:p>
        </w:tc>
      </w:tr>
      <w:tr>
        <w:tc>
          <w:tcPr>
            <w:tcW w:w="2160" w:type="dxa"/>
          </w:tcPr>
          <w:p>
            <w:r>
              <w:t xml:space="preserve">Revenue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$1,200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$1,350</w:t>
            </w:r>
          </w:p>
        </w:tc>
      </w:tr>
      <w:tr>
        <w:tc>
          <w:tcPr>
            <w:tcW w:w="2160" w:type="dxa"/>
          </w:tcPr>
          <w:p>
            <w:r>
              <w:t xml:space="preserve">COGS</w:t>
            </w:r>
          </w:p>
        </w:tc>
        <w:tc>
          <w:tcPr>
            <w:tcW w:w="2160" w:type="dxa"/>
            <w:shd w:val="clear" w:color="auto" w:fill="F9F9F9"/>
          </w:tcPr>
          <w:p>
            <w:pPr>
              <w:jc w:val="right"/>
            </w:pPr>
            <w:r>
              <w:t xml:space="preserve">$700</w:t>
            </w:r>
          </w:p>
        </w:tc>
        <w:tc>
          <w:tcPr>
            <w:tcW w:w="2160" w:type="dxa"/>
            <w:shd w:val="clear" w:color="auto" w:fill="F9F9F9"/>
          </w:tcPr>
          <w:p>
            <w:pPr>
              <w:jc w:val="right"/>
            </w:pPr>
            <w:r>
              <w:t xml:space="preserve">$760</w:t>
            </w:r>
          </w:p>
        </w:tc>
      </w:tr>
      <w:tr>
        <w:tc>
          <w:tcPr>
            <w:tcW w:w="2160" w:type="dxa"/>
          </w:tcPr>
          <w:p>
            <w:r>
              <w:t xml:space="preserve">Opex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$300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$320</w:t>
            </w:r>
          </w:p>
        </w:tc>
      </w:tr>
      <w:tr>
        <w:tc>
          <w:tcPr>
            <w:tcW w:w="2160" w:type="dxa"/>
            <w:shd w:val="clear" w:color="auto" w:fill="F5F5F5"/>
          </w:tcPr>
          <w:p>
            <w:r>
              <w:rPr>
                <w:b/>
              </w:rPr>
              <w:t xml:space="preserve">Net income</w:t>
            </w:r>
          </w:p>
        </w:tc>
        <w:tc>
          <w:tcPr>
            <w:tcW w:w="2160" w:type="dxa"/>
            <w:shd w:val="clear" w:color="auto" w:fill="F5F5F5"/>
          </w:tcPr>
          <w:p>
            <w:pPr>
              <w:jc w:val="right"/>
            </w:pPr>
            <w:r>
              <w:rPr>
                <w:b/>
              </w:rPr>
              <w:t xml:space="preserve">$200</w:t>
            </w:r>
          </w:p>
        </w:tc>
        <w:tc>
          <w:tcPr>
            <w:tcW w:w="2160" w:type="dxa"/>
            <w:shd w:val="clear" w:color="auto" w:fill="F5F5F5"/>
          </w:tcPr>
          <w:p>
            <w:pPr>
              <w:jc w:val="right"/>
            </w:pPr>
            <w:r>
              <w:rPr>
                <w:b/>
              </w:rPr>
              <w:t xml:space="preserve">$270</w:t>
            </w:r>
          </w:p>
        </w:tc>
      </w:tr>
    </w:tbl>
    <w:p/>
    <w:p>
      <w:r>
        <w:rPr>
          <w:i/>
        </w:rPr>
        <w:t xml:space="preserve">Unaudited management figures.</w:t>
      </w:r>
    </w:p>
  </w:body>
</w:document>
</file>

<file path=word/_rels/document.xml.rels><?xml version="1.0" encoding="UTF-8" standalone="yes"?>
<Relationships xmlns="http://schemas.openxmlformats.org/package/2006/relationships">
</Relationships>
</file>